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2514B666" w:rsidR="008416D8"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26A6398D" w14:textId="7E4833F5" w:rsidR="00E72EF6" w:rsidRPr="00F63D8D" w:rsidRDefault="00E72EF6" w:rsidP="00E72EF6">
      <w:pPr>
        <w:pStyle w:val="APA6Keywords"/>
        <w:ind w:firstLine="0"/>
        <w:jc w:val="both"/>
      </w:pPr>
      <w:r w:rsidRPr="00E72EF6">
        <w:rPr>
          <w:b/>
        </w:rPr>
        <w:t xml:space="preserve">JEL Classification: </w:t>
      </w:r>
      <w:r w:rsidRPr="00E72EF6">
        <w:rPr>
          <w:shd w:val="clear" w:color="auto" w:fill="FFFFFF"/>
        </w:rPr>
        <w:t>G30, G32, G34, O53</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lastRenderedPageBreak/>
        <w:t>Spell out abbreviations the first time you use them, except in cases where the abbreviations are very well- known e.g., CIA.</w:t>
      </w:r>
    </w:p>
    <w:p w14:paraId="311E9AAF" w14:textId="2F3C6F49" w:rsidR="003D4329" w:rsidRPr="00F63D8D" w:rsidRDefault="008232BF" w:rsidP="003D4329">
      <w:pPr>
        <w:pStyle w:val="APA6Paragraph"/>
      </w:pPr>
      <w:r w:rsidRPr="00F63D8D">
        <w:t xml:space="preserve">When you borrow a quote from an external source, you need to provide the location of the quote in the document (page number) in the parenthetical. </w:t>
      </w:r>
      <w:r w:rsidR="003D4329" w:rsidRPr="00F63D8D">
        <w:t>Quotations less than 40 words are placed with</w:t>
      </w:r>
      <w:r w:rsidR="00B066DB">
        <w:t xml:space="preserve">in text using quotation marks </w:t>
      </w:r>
      <w:r w:rsidR="003D4329" w:rsidRPr="00F63D8D">
        <w:t>“</w:t>
      </w:r>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AF2AF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AF2AFD" w:rsidRPr="00F63D8D" w:rsidRDefault="00AF2AFD" w:rsidP="00AF2AFD">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AF2AFD" w:rsidRPr="00F63D8D" w:rsidRDefault="00AF2AFD" w:rsidP="00AF2AFD">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09627BB1" w:rsidR="00AF2AFD" w:rsidRPr="00F63D8D" w:rsidRDefault="00AF2AFD" w:rsidP="00AF2AFD">
            <w:pPr>
              <w:pStyle w:val="APA6TableRow1"/>
              <w:rPr>
                <w:i/>
                <w:iCs/>
                <w:sz w:val="20"/>
                <w:szCs w:val="20"/>
              </w:rPr>
            </w:pPr>
            <w:r>
              <w:rPr>
                <w:i/>
                <w:iCs/>
                <w:sz w:val="20"/>
                <w:szCs w:val="20"/>
              </w:rPr>
              <w:t>k</w:t>
            </w:r>
          </w:p>
        </w:tc>
        <w:tc>
          <w:tcPr>
            <w:tcW w:w="647" w:type="dxa"/>
            <w:tcBorders>
              <w:top w:val="single" w:sz="4" w:space="0" w:color="auto"/>
              <w:left w:val="nil"/>
              <w:bottom w:val="single" w:sz="4" w:space="0" w:color="auto"/>
              <w:right w:val="nil"/>
            </w:tcBorders>
            <w:shd w:val="clear" w:color="auto" w:fill="auto"/>
            <w:noWrap/>
          </w:tcPr>
          <w:p w14:paraId="43DCFCAC" w14:textId="1A000FF2" w:rsidR="00AF2AFD" w:rsidRPr="00F63D8D" w:rsidRDefault="00AF2AFD" w:rsidP="00AF2AFD">
            <w:pPr>
              <w:pStyle w:val="APA6TableRow1"/>
              <w:rPr>
                <w:i/>
                <w:iCs/>
                <w:sz w:val="20"/>
                <w:szCs w:val="20"/>
              </w:rPr>
            </w:pPr>
            <w:r w:rsidRPr="00F63D8D">
              <w:rPr>
                <w:i/>
                <w:iCs/>
                <w:sz w:val="20"/>
                <w:szCs w:val="20"/>
              </w:rPr>
              <w:t>R</w:t>
            </w:r>
          </w:p>
        </w:tc>
        <w:tc>
          <w:tcPr>
            <w:tcW w:w="646" w:type="dxa"/>
            <w:tcBorders>
              <w:top w:val="single" w:sz="4" w:space="0" w:color="auto"/>
              <w:left w:val="nil"/>
              <w:bottom w:val="single" w:sz="4" w:space="0" w:color="auto"/>
              <w:right w:val="nil"/>
            </w:tcBorders>
            <w:shd w:val="clear" w:color="auto" w:fill="auto"/>
            <w:noWrap/>
          </w:tcPr>
          <w:p w14:paraId="0FD62941" w14:textId="0F7071F6" w:rsidR="00AF2AFD" w:rsidRPr="00F63D8D" w:rsidRDefault="00AF2AFD" w:rsidP="00AF2AFD">
            <w:pPr>
              <w:pStyle w:val="APA6TableRow1"/>
              <w:rPr>
                <w:i/>
                <w:iCs/>
                <w:sz w:val="20"/>
                <w:szCs w:val="20"/>
              </w:rPr>
            </w:pPr>
            <w:r w:rsidRPr="00F63D8D">
              <w:rPr>
                <w:i/>
                <w:iCs/>
                <w:sz w:val="20"/>
                <w:szCs w:val="20"/>
              </w:rPr>
              <w:t>M</w:t>
            </w:r>
          </w:p>
        </w:tc>
        <w:tc>
          <w:tcPr>
            <w:tcW w:w="719" w:type="dxa"/>
            <w:tcBorders>
              <w:top w:val="single" w:sz="4" w:space="0" w:color="auto"/>
              <w:left w:val="nil"/>
              <w:bottom w:val="single" w:sz="4" w:space="0" w:color="auto"/>
              <w:right w:val="nil"/>
            </w:tcBorders>
            <w:shd w:val="clear" w:color="auto" w:fill="auto"/>
            <w:noWrap/>
          </w:tcPr>
          <w:p w14:paraId="25F96321" w14:textId="67D0A2F0" w:rsidR="00AF2AFD" w:rsidRPr="00F63D8D" w:rsidRDefault="00AF2AFD" w:rsidP="00AF2AFD">
            <w:pPr>
              <w:pStyle w:val="APA6TableRow1"/>
              <w:rPr>
                <w:i/>
                <w:iCs/>
                <w:sz w:val="20"/>
                <w:szCs w:val="20"/>
              </w:rPr>
            </w:pPr>
            <w:r>
              <w:rPr>
                <w:i/>
                <w:iCs/>
                <w:sz w:val="20"/>
                <w:szCs w:val="20"/>
              </w:rPr>
              <w:t>SD</w:t>
            </w:r>
          </w:p>
        </w:tc>
        <w:tc>
          <w:tcPr>
            <w:tcW w:w="646" w:type="dxa"/>
            <w:tcBorders>
              <w:top w:val="single" w:sz="4" w:space="0" w:color="auto"/>
              <w:left w:val="nil"/>
              <w:bottom w:val="single" w:sz="4" w:space="0" w:color="auto"/>
              <w:right w:val="nil"/>
            </w:tcBorders>
          </w:tcPr>
          <w:p w14:paraId="6B5CAB86" w14:textId="4A07B059" w:rsidR="00AF2AFD" w:rsidRPr="00F63D8D" w:rsidRDefault="00AF2AFD" w:rsidP="00AF2AFD">
            <w:pPr>
              <w:pStyle w:val="APA6TableRow1"/>
              <w:rPr>
                <w:i/>
                <w:iCs/>
                <w:sz w:val="20"/>
                <w:szCs w:val="20"/>
              </w:rPr>
            </w:pPr>
            <w:r>
              <w:rPr>
                <w:i/>
                <w:iCs/>
                <w:sz w:val="20"/>
                <w:szCs w:val="20"/>
              </w:rPr>
              <w:t>LL</w:t>
            </w:r>
          </w:p>
        </w:tc>
        <w:tc>
          <w:tcPr>
            <w:tcW w:w="721" w:type="dxa"/>
            <w:tcBorders>
              <w:top w:val="single" w:sz="4" w:space="0" w:color="auto"/>
              <w:left w:val="nil"/>
              <w:bottom w:val="single" w:sz="4" w:space="0" w:color="auto"/>
              <w:right w:val="nil"/>
            </w:tcBorders>
          </w:tcPr>
          <w:p w14:paraId="5D2D18E8" w14:textId="24051409" w:rsidR="00AF2AFD" w:rsidRPr="00F63D8D" w:rsidRDefault="00AF2AFD" w:rsidP="00AF2AFD">
            <w:pPr>
              <w:pStyle w:val="APA6TableRow1"/>
              <w:rPr>
                <w:i/>
                <w:iCs/>
                <w:sz w:val="20"/>
                <w:szCs w:val="20"/>
              </w:rPr>
            </w:pPr>
            <w:r>
              <w:rPr>
                <w:i/>
                <w:iCs/>
                <w:sz w:val="20"/>
                <w:szCs w:val="20"/>
              </w:rPr>
              <w:t>UL</w:t>
            </w:r>
          </w:p>
        </w:tc>
        <w:tc>
          <w:tcPr>
            <w:tcW w:w="646" w:type="dxa"/>
            <w:tcBorders>
              <w:top w:val="single" w:sz="4" w:space="0" w:color="auto"/>
              <w:left w:val="nil"/>
              <w:bottom w:val="single" w:sz="4" w:space="0" w:color="auto"/>
              <w:right w:val="nil"/>
            </w:tcBorders>
          </w:tcPr>
          <w:p w14:paraId="26216568" w14:textId="77777777" w:rsidR="00AF2AFD" w:rsidRPr="00F63D8D" w:rsidRDefault="00AF2AFD" w:rsidP="00AF2AFD">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AF2AFD" w:rsidRPr="00F63D8D" w:rsidRDefault="00AF2AFD" w:rsidP="00AF2AFD">
            <w:pPr>
              <w:pStyle w:val="APA6TableRow1"/>
              <w:rPr>
                <w:sz w:val="20"/>
                <w:szCs w:val="20"/>
              </w:rPr>
            </w:pPr>
            <w:r w:rsidRPr="00F63D8D">
              <w:rPr>
                <w:sz w:val="20"/>
                <w:szCs w:val="20"/>
              </w:rPr>
              <w:t>Age</w:t>
            </w:r>
          </w:p>
        </w:tc>
      </w:tr>
      <w:tr w:rsidR="00AF2AF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AF2AFD" w:rsidRPr="00F63D8D" w:rsidRDefault="00AF2AFD" w:rsidP="00AF2AFD">
            <w:pPr>
              <w:pStyle w:val="APA6Column1"/>
              <w:rPr>
                <w:sz w:val="20"/>
                <w:szCs w:val="20"/>
              </w:rPr>
            </w:pPr>
          </w:p>
        </w:tc>
        <w:tc>
          <w:tcPr>
            <w:tcW w:w="503" w:type="dxa"/>
            <w:tcBorders>
              <w:top w:val="nil"/>
              <w:left w:val="nil"/>
              <w:bottom w:val="nil"/>
              <w:right w:val="nil"/>
            </w:tcBorders>
            <w:vAlign w:val="bottom"/>
          </w:tcPr>
          <w:p w14:paraId="2EBDB648" w14:textId="0EF36A97" w:rsidR="00AF2AFD" w:rsidRPr="00F63D8D" w:rsidRDefault="00AF2AFD" w:rsidP="00AF2AFD">
            <w:pPr>
              <w:pStyle w:val="APA6TableCell"/>
              <w:rPr>
                <w:sz w:val="20"/>
                <w:szCs w:val="20"/>
              </w:rPr>
            </w:pPr>
          </w:p>
        </w:tc>
        <w:tc>
          <w:tcPr>
            <w:tcW w:w="575" w:type="dxa"/>
            <w:tcBorders>
              <w:top w:val="nil"/>
              <w:left w:val="nil"/>
              <w:bottom w:val="nil"/>
              <w:right w:val="nil"/>
            </w:tcBorders>
            <w:vAlign w:val="bottom"/>
          </w:tcPr>
          <w:p w14:paraId="3F06C49E" w14:textId="50A2C1D8" w:rsidR="00AF2AFD" w:rsidRPr="00F63D8D" w:rsidRDefault="00AF2AFD" w:rsidP="00AF2AFD">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AF2AFD" w:rsidRPr="00F63D8D" w:rsidRDefault="00AF2AFD" w:rsidP="00AF2AFD">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AF2AFD" w:rsidRPr="00F63D8D" w:rsidRDefault="00AF2AFD" w:rsidP="00AF2AFD">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AF2AFD" w:rsidRPr="00F63D8D" w:rsidRDefault="00AF2AFD" w:rsidP="00AF2AFD">
            <w:pPr>
              <w:pStyle w:val="APA6TableCell"/>
              <w:rPr>
                <w:sz w:val="20"/>
                <w:szCs w:val="20"/>
              </w:rPr>
            </w:pPr>
          </w:p>
        </w:tc>
        <w:tc>
          <w:tcPr>
            <w:tcW w:w="646" w:type="dxa"/>
            <w:tcBorders>
              <w:top w:val="nil"/>
              <w:left w:val="nil"/>
              <w:bottom w:val="nil"/>
              <w:right w:val="nil"/>
            </w:tcBorders>
          </w:tcPr>
          <w:p w14:paraId="5C43D1CC" w14:textId="3EEBBB7E" w:rsidR="00AF2AFD" w:rsidRPr="00F63D8D" w:rsidRDefault="00AF2AFD" w:rsidP="00AF2AFD">
            <w:pPr>
              <w:pStyle w:val="APA6TableCell"/>
              <w:rPr>
                <w:sz w:val="20"/>
                <w:szCs w:val="20"/>
              </w:rPr>
            </w:pPr>
          </w:p>
        </w:tc>
        <w:tc>
          <w:tcPr>
            <w:tcW w:w="721" w:type="dxa"/>
            <w:tcBorders>
              <w:top w:val="nil"/>
              <w:left w:val="nil"/>
              <w:bottom w:val="nil"/>
              <w:right w:val="nil"/>
            </w:tcBorders>
          </w:tcPr>
          <w:p w14:paraId="30D4701A" w14:textId="2655A6C6" w:rsidR="00AF2AFD" w:rsidRPr="00F63D8D" w:rsidRDefault="00AF2AFD" w:rsidP="00AF2AFD">
            <w:pPr>
              <w:pStyle w:val="APA6TableCell"/>
              <w:rPr>
                <w:sz w:val="20"/>
                <w:szCs w:val="20"/>
              </w:rPr>
            </w:pPr>
          </w:p>
        </w:tc>
        <w:tc>
          <w:tcPr>
            <w:tcW w:w="646" w:type="dxa"/>
            <w:tcBorders>
              <w:top w:val="nil"/>
              <w:left w:val="nil"/>
              <w:bottom w:val="nil"/>
              <w:right w:val="nil"/>
            </w:tcBorders>
          </w:tcPr>
          <w:p w14:paraId="60DD6BFC" w14:textId="72183928" w:rsidR="00AF2AFD" w:rsidRPr="00F63D8D" w:rsidRDefault="00AF2AFD" w:rsidP="00AF2AFD">
            <w:pPr>
              <w:pStyle w:val="APA6TableCell"/>
              <w:rPr>
                <w:sz w:val="20"/>
                <w:szCs w:val="20"/>
              </w:rPr>
            </w:pPr>
          </w:p>
        </w:tc>
        <w:tc>
          <w:tcPr>
            <w:tcW w:w="648" w:type="dxa"/>
            <w:tcBorders>
              <w:top w:val="nil"/>
              <w:left w:val="nil"/>
              <w:bottom w:val="nil"/>
              <w:right w:val="nil"/>
            </w:tcBorders>
          </w:tcPr>
          <w:p w14:paraId="29849AE2" w14:textId="31C1C7BC" w:rsidR="00AF2AFD" w:rsidRPr="00F63D8D" w:rsidRDefault="00AF2AFD" w:rsidP="00AF2AFD">
            <w:pPr>
              <w:pStyle w:val="APA6TableCell"/>
              <w:rPr>
                <w:sz w:val="20"/>
                <w:szCs w:val="20"/>
              </w:rPr>
            </w:pPr>
          </w:p>
        </w:tc>
      </w:tr>
      <w:tr w:rsidR="00AF2AF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AF2AFD" w:rsidRPr="00F63D8D" w:rsidRDefault="00AF2AFD" w:rsidP="00AF2AFD">
            <w:pPr>
              <w:pStyle w:val="APA6Column1"/>
              <w:rPr>
                <w:sz w:val="20"/>
                <w:szCs w:val="20"/>
              </w:rPr>
            </w:pPr>
          </w:p>
        </w:tc>
        <w:tc>
          <w:tcPr>
            <w:tcW w:w="503" w:type="dxa"/>
            <w:tcBorders>
              <w:top w:val="nil"/>
              <w:left w:val="nil"/>
              <w:right w:val="nil"/>
            </w:tcBorders>
            <w:vAlign w:val="bottom"/>
          </w:tcPr>
          <w:p w14:paraId="0437500C" w14:textId="1B39C44B" w:rsidR="00AF2AFD" w:rsidRPr="00F63D8D" w:rsidRDefault="00AF2AFD" w:rsidP="00AF2AFD">
            <w:pPr>
              <w:pStyle w:val="APA6TableCell"/>
              <w:rPr>
                <w:sz w:val="20"/>
                <w:szCs w:val="20"/>
              </w:rPr>
            </w:pPr>
          </w:p>
        </w:tc>
        <w:tc>
          <w:tcPr>
            <w:tcW w:w="575" w:type="dxa"/>
            <w:tcBorders>
              <w:top w:val="nil"/>
              <w:left w:val="nil"/>
              <w:right w:val="nil"/>
            </w:tcBorders>
            <w:vAlign w:val="bottom"/>
          </w:tcPr>
          <w:p w14:paraId="59068425" w14:textId="624F6746" w:rsidR="00AF2AFD" w:rsidRPr="00F63D8D" w:rsidRDefault="00AF2AFD" w:rsidP="00AF2AFD">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AF2AFD" w:rsidRPr="00F63D8D" w:rsidRDefault="00AF2AFD" w:rsidP="00AF2AFD">
            <w:pPr>
              <w:pStyle w:val="APA6TableCell"/>
              <w:rPr>
                <w:sz w:val="20"/>
                <w:szCs w:val="20"/>
              </w:rPr>
            </w:pPr>
          </w:p>
        </w:tc>
        <w:tc>
          <w:tcPr>
            <w:tcW w:w="646" w:type="dxa"/>
            <w:tcBorders>
              <w:top w:val="nil"/>
              <w:left w:val="nil"/>
              <w:right w:val="nil"/>
            </w:tcBorders>
            <w:shd w:val="clear" w:color="auto" w:fill="auto"/>
            <w:noWrap/>
          </w:tcPr>
          <w:p w14:paraId="5FEDF2F4" w14:textId="7689D444" w:rsidR="00AF2AFD" w:rsidRPr="00F63D8D" w:rsidRDefault="00AF2AFD" w:rsidP="00AF2AFD">
            <w:pPr>
              <w:pStyle w:val="APA6TableCell"/>
              <w:rPr>
                <w:sz w:val="20"/>
                <w:szCs w:val="20"/>
              </w:rPr>
            </w:pPr>
          </w:p>
        </w:tc>
        <w:tc>
          <w:tcPr>
            <w:tcW w:w="719" w:type="dxa"/>
            <w:tcBorders>
              <w:top w:val="nil"/>
              <w:left w:val="nil"/>
              <w:right w:val="nil"/>
            </w:tcBorders>
            <w:shd w:val="clear" w:color="auto" w:fill="auto"/>
            <w:noWrap/>
          </w:tcPr>
          <w:p w14:paraId="468E5B26" w14:textId="0A7646E1" w:rsidR="00AF2AFD" w:rsidRPr="00F63D8D" w:rsidRDefault="00AF2AFD" w:rsidP="00AF2AFD">
            <w:pPr>
              <w:pStyle w:val="APA6TableCell"/>
              <w:rPr>
                <w:sz w:val="20"/>
                <w:szCs w:val="20"/>
              </w:rPr>
            </w:pPr>
          </w:p>
        </w:tc>
        <w:tc>
          <w:tcPr>
            <w:tcW w:w="646" w:type="dxa"/>
            <w:tcBorders>
              <w:top w:val="nil"/>
              <w:left w:val="nil"/>
              <w:right w:val="nil"/>
            </w:tcBorders>
          </w:tcPr>
          <w:p w14:paraId="5E4B98D8" w14:textId="4AFA96C1" w:rsidR="00AF2AFD" w:rsidRPr="00F63D8D" w:rsidRDefault="00AF2AFD" w:rsidP="00AF2AFD">
            <w:pPr>
              <w:pStyle w:val="APA6TableCell"/>
              <w:rPr>
                <w:sz w:val="20"/>
                <w:szCs w:val="20"/>
              </w:rPr>
            </w:pPr>
          </w:p>
        </w:tc>
        <w:tc>
          <w:tcPr>
            <w:tcW w:w="721" w:type="dxa"/>
            <w:tcBorders>
              <w:top w:val="nil"/>
              <w:left w:val="nil"/>
              <w:right w:val="nil"/>
            </w:tcBorders>
          </w:tcPr>
          <w:p w14:paraId="153380B8" w14:textId="5685181B" w:rsidR="00AF2AFD" w:rsidRPr="00F63D8D" w:rsidRDefault="00AF2AFD" w:rsidP="00AF2AFD">
            <w:pPr>
              <w:pStyle w:val="APA6TableCell"/>
              <w:rPr>
                <w:sz w:val="20"/>
                <w:szCs w:val="20"/>
              </w:rPr>
            </w:pPr>
          </w:p>
        </w:tc>
        <w:tc>
          <w:tcPr>
            <w:tcW w:w="646" w:type="dxa"/>
            <w:tcBorders>
              <w:top w:val="nil"/>
              <w:left w:val="nil"/>
              <w:right w:val="nil"/>
            </w:tcBorders>
          </w:tcPr>
          <w:p w14:paraId="73DDDC0C" w14:textId="53614AF2" w:rsidR="00AF2AFD" w:rsidRPr="00F63D8D" w:rsidRDefault="00AF2AFD" w:rsidP="00AF2AFD">
            <w:pPr>
              <w:pStyle w:val="APA6TableCell"/>
              <w:rPr>
                <w:sz w:val="20"/>
                <w:szCs w:val="20"/>
              </w:rPr>
            </w:pPr>
          </w:p>
        </w:tc>
        <w:tc>
          <w:tcPr>
            <w:tcW w:w="648" w:type="dxa"/>
            <w:tcBorders>
              <w:top w:val="nil"/>
              <w:left w:val="nil"/>
              <w:right w:val="nil"/>
            </w:tcBorders>
          </w:tcPr>
          <w:p w14:paraId="214FA3F5" w14:textId="154A02FC" w:rsidR="00AF2AFD" w:rsidRPr="00F63D8D" w:rsidRDefault="00AF2AFD" w:rsidP="00AF2AFD">
            <w:pPr>
              <w:pStyle w:val="APA6TableCell"/>
              <w:rPr>
                <w:sz w:val="20"/>
                <w:szCs w:val="20"/>
              </w:rPr>
            </w:pPr>
          </w:p>
        </w:tc>
      </w:tr>
      <w:tr w:rsidR="00AF2AF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AF2AFD" w:rsidRPr="00F63D8D" w:rsidRDefault="00AF2AFD" w:rsidP="00AF2AFD">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AF2AFD" w:rsidRPr="00F63D8D" w:rsidRDefault="00AF2AFD" w:rsidP="00AF2AFD">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AF2AFD" w:rsidRPr="00F63D8D" w:rsidRDefault="00AF2AFD" w:rsidP="00AF2AFD">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AF2AFD" w:rsidRPr="00F63D8D" w:rsidRDefault="00AF2AFD" w:rsidP="00AF2AFD">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32C7C96" w14:textId="2DBC62FF" w:rsidR="00AF2AFD" w:rsidRPr="00F63D8D" w:rsidRDefault="00AF2AFD" w:rsidP="00AF2AFD">
            <w:pPr>
              <w:pStyle w:val="APA6TableCell"/>
              <w:rPr>
                <w:sz w:val="20"/>
                <w:szCs w:val="20"/>
              </w:rPr>
            </w:pPr>
          </w:p>
        </w:tc>
        <w:tc>
          <w:tcPr>
            <w:tcW w:w="721" w:type="dxa"/>
            <w:tcBorders>
              <w:top w:val="nil"/>
              <w:left w:val="nil"/>
              <w:bottom w:val="single" w:sz="4" w:space="0" w:color="auto"/>
              <w:right w:val="nil"/>
            </w:tcBorders>
          </w:tcPr>
          <w:p w14:paraId="2CB44C40" w14:textId="31FF646C" w:rsidR="00AF2AFD" w:rsidRPr="00F63D8D" w:rsidRDefault="00AF2AFD" w:rsidP="00AF2AFD">
            <w:pPr>
              <w:pStyle w:val="APA6TableCell"/>
              <w:rPr>
                <w:sz w:val="20"/>
                <w:szCs w:val="20"/>
              </w:rPr>
            </w:pPr>
          </w:p>
        </w:tc>
        <w:tc>
          <w:tcPr>
            <w:tcW w:w="646" w:type="dxa"/>
            <w:tcBorders>
              <w:top w:val="nil"/>
              <w:left w:val="nil"/>
              <w:bottom w:val="single" w:sz="4" w:space="0" w:color="auto"/>
              <w:right w:val="nil"/>
            </w:tcBorders>
          </w:tcPr>
          <w:p w14:paraId="1BDE1136" w14:textId="46833119" w:rsidR="00AF2AFD" w:rsidRPr="00F63D8D" w:rsidRDefault="00AF2AFD" w:rsidP="00AF2AFD">
            <w:pPr>
              <w:pStyle w:val="APA6TableCell"/>
              <w:rPr>
                <w:sz w:val="20"/>
                <w:szCs w:val="20"/>
              </w:rPr>
            </w:pPr>
          </w:p>
        </w:tc>
        <w:tc>
          <w:tcPr>
            <w:tcW w:w="648" w:type="dxa"/>
            <w:tcBorders>
              <w:top w:val="nil"/>
              <w:left w:val="nil"/>
              <w:bottom w:val="single" w:sz="4" w:space="0" w:color="auto"/>
              <w:right w:val="nil"/>
            </w:tcBorders>
          </w:tcPr>
          <w:p w14:paraId="314715EA" w14:textId="122C3F40" w:rsidR="00AF2AFD" w:rsidRPr="00F63D8D" w:rsidRDefault="00AF2AFD" w:rsidP="00AF2AFD">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5C2EABE8" w14:textId="77777777" w:rsidR="00F378F2" w:rsidRDefault="00F378F2" w:rsidP="00F378F2">
      <w:pPr>
        <w:spacing w:after="0"/>
        <w:ind w:left="288" w:hanging="288"/>
        <w:rPr>
          <w:rFonts w:ascii="Times New Roman" w:hAnsi="Times New Roman" w:cs="Times New Roman"/>
        </w:rPr>
      </w:pPr>
      <w:proofErr w:type="spellStart"/>
      <w:r>
        <w:rPr>
          <w:rFonts w:ascii="Times New Roman" w:hAnsi="Times New Roman" w:cs="Times New Roman"/>
        </w:rPr>
        <w:t>Javed</w:t>
      </w:r>
      <w:proofErr w:type="spellEnd"/>
      <w:r>
        <w:rPr>
          <w:rFonts w:ascii="Times New Roman" w:hAnsi="Times New Roman" w:cs="Times New Roman"/>
        </w:rPr>
        <w:t xml:space="preserve">, M. M., Bukhari, S. M. H., &amp; Bashir, A. (2022). Impact of </w:t>
      </w:r>
      <w:proofErr w:type="spellStart"/>
      <w:r>
        <w:rPr>
          <w:rFonts w:ascii="Times New Roman" w:hAnsi="Times New Roman" w:cs="Times New Roman"/>
        </w:rPr>
        <w:t>Shariah</w:t>
      </w:r>
      <w:proofErr w:type="spellEnd"/>
      <w:r>
        <w:rPr>
          <w:rFonts w:ascii="Times New Roman" w:hAnsi="Times New Roman" w:cs="Times New Roman"/>
        </w:rPr>
        <w:t xml:space="preserve"> compliance on financial performance of Islamic banks: Evidence from Pakistan. </w:t>
      </w:r>
      <w:r>
        <w:rPr>
          <w:rFonts w:ascii="Times New Roman" w:hAnsi="Times New Roman" w:cs="Times New Roman"/>
          <w:i/>
        </w:rPr>
        <w:t>Islamic Banking &amp; Finance Review</w:t>
      </w:r>
      <w:r>
        <w:rPr>
          <w:rFonts w:ascii="Times New Roman" w:hAnsi="Times New Roman" w:cs="Times New Roman"/>
        </w:rPr>
        <w:t xml:space="preserve">, </w:t>
      </w:r>
      <w:r>
        <w:rPr>
          <w:rFonts w:ascii="Times New Roman" w:hAnsi="Times New Roman" w:cs="Times New Roman"/>
          <w:i/>
        </w:rPr>
        <w:t>9</w:t>
      </w:r>
      <w:r>
        <w:rPr>
          <w:rFonts w:ascii="Times New Roman" w:hAnsi="Times New Roman" w:cs="Times New Roman"/>
        </w:rPr>
        <w:t xml:space="preserve">(1), 00–00. </w:t>
      </w:r>
      <w:hyperlink r:id="rId8" w:history="1">
        <w:r>
          <w:rPr>
            <w:rStyle w:val="Hyperlink"/>
            <w:rFonts w:ascii="Times New Roman" w:hAnsi="Times New Roman" w:cs="Times New Roman"/>
          </w:rPr>
          <w:t>https://doi.org/10.32350/ibfr.91.01</w:t>
        </w:r>
      </w:hyperlink>
    </w:p>
    <w:p w14:paraId="0EC2BF7B" w14:textId="77777777" w:rsidR="000D74ED" w:rsidRPr="00F63D8D" w:rsidRDefault="000D74ED" w:rsidP="000D74ED">
      <w:pPr>
        <w:pStyle w:val="APA6References"/>
        <w:rPr>
          <w:rFonts w:cs="Times New Roman"/>
          <w:b/>
          <w:szCs w:val="24"/>
        </w:rPr>
      </w:pPr>
      <w:bookmarkStart w:id="1" w:name="_GoBack"/>
      <w:bookmarkEnd w:id="1"/>
      <w:r w:rsidRPr="00F63D8D">
        <w:rPr>
          <w:rFonts w:cs="Times New Roman"/>
          <w:b/>
          <w:szCs w:val="24"/>
        </w:rPr>
        <w:t>Book</w:t>
      </w:r>
    </w:p>
    <w:p w14:paraId="60388B27" w14:textId="77777777" w:rsidR="000D74ED" w:rsidRPr="00F63D8D" w:rsidRDefault="000D74ED" w:rsidP="00863E74">
      <w:pPr>
        <w:pStyle w:val="APA6References"/>
        <w:jc w:val="both"/>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863E74">
      <w:pPr>
        <w:pStyle w:val="APA6References"/>
        <w:jc w:val="both"/>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on News Website (Online News Article)  </w:t>
      </w:r>
    </w:p>
    <w:p w14:paraId="675B3941" w14:textId="77777777" w:rsidR="000D74ED" w:rsidRPr="00F63D8D" w:rsidRDefault="000D74ED" w:rsidP="00863E74">
      <w:pPr>
        <w:ind w:left="360" w:hanging="360"/>
        <w:jc w:val="both"/>
        <w:rPr>
          <w:rFonts w:ascii="Times New Roman" w:hAnsi="Times New Roman" w:cs="Times New Roman"/>
          <w:sz w:val="24"/>
          <w:szCs w:val="24"/>
        </w:rPr>
      </w:pPr>
      <w:proofErr w:type="spellStart"/>
      <w:r w:rsidRPr="00F63D8D">
        <w:rPr>
          <w:rFonts w:ascii="Times New Roman" w:hAnsi="Times New Roman" w:cs="Times New Roman"/>
          <w:sz w:val="24"/>
          <w:szCs w:val="24"/>
        </w:rPr>
        <w:lastRenderedPageBreak/>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863E74">
      <w:pPr>
        <w:ind w:left="360" w:hanging="360"/>
        <w:jc w:val="both"/>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863E74">
      <w:pPr>
        <w:pStyle w:val="APA6References"/>
        <w:jc w:val="both"/>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BC119" w14:textId="77777777" w:rsidR="00750805" w:rsidRDefault="00750805">
      <w:pPr>
        <w:spacing w:after="0" w:line="240" w:lineRule="auto"/>
      </w:pPr>
      <w:r>
        <w:separator/>
      </w:r>
    </w:p>
  </w:endnote>
  <w:endnote w:type="continuationSeparator" w:id="0">
    <w:p w14:paraId="571DA287" w14:textId="77777777" w:rsidR="00750805" w:rsidRDefault="0075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F2047" w14:textId="77777777" w:rsidR="00750805" w:rsidRDefault="00750805">
      <w:pPr>
        <w:spacing w:after="0" w:line="240" w:lineRule="auto"/>
      </w:pPr>
      <w:r>
        <w:separator/>
      </w:r>
    </w:p>
  </w:footnote>
  <w:footnote w:type="continuationSeparator" w:id="0">
    <w:p w14:paraId="6CF30C50" w14:textId="77777777" w:rsidR="00750805" w:rsidRDefault="00750805">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37845"/>
    <w:rsid w:val="00746A89"/>
    <w:rsid w:val="00750805"/>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3E74"/>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AF2AFD"/>
    <w:rsid w:val="00B02A22"/>
    <w:rsid w:val="00B066DB"/>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72EF6"/>
    <w:rsid w:val="00E9490C"/>
    <w:rsid w:val="00EC0682"/>
    <w:rsid w:val="00EC2C92"/>
    <w:rsid w:val="00F04832"/>
    <w:rsid w:val="00F07532"/>
    <w:rsid w:val="00F1150E"/>
    <w:rsid w:val="00F30581"/>
    <w:rsid w:val="00F378F2"/>
    <w:rsid w:val="00F47F97"/>
    <w:rsid w:val="00F63D8D"/>
    <w:rsid w:val="00F74B6D"/>
    <w:rsid w:val="00F85024"/>
    <w:rsid w:val="00F92427"/>
    <w:rsid w:val="00FA2D15"/>
    <w:rsid w:val="00FA7FE1"/>
    <w:rsid w:val="00FB2C25"/>
    <w:rsid w:val="00FB4E3D"/>
    <w:rsid w:val="00FB65C0"/>
    <w:rsid w:val="00FC70FC"/>
    <w:rsid w:val="00FD4E32"/>
    <w:rsid w:val="00FE2445"/>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2404">
      <w:bodyDiv w:val="1"/>
      <w:marLeft w:val="0"/>
      <w:marRight w:val="0"/>
      <w:marTop w:val="0"/>
      <w:marBottom w:val="0"/>
      <w:divBdr>
        <w:top w:val="none" w:sz="0" w:space="0" w:color="auto"/>
        <w:left w:val="none" w:sz="0" w:space="0" w:color="auto"/>
        <w:bottom w:val="none" w:sz="0" w:space="0" w:color="auto"/>
        <w:right w:val="none" w:sz="0" w:space="0" w:color="auto"/>
      </w:divBdr>
    </w:div>
    <w:div w:id="1218667885">
      <w:bodyDiv w:val="1"/>
      <w:marLeft w:val="0"/>
      <w:marRight w:val="0"/>
      <w:marTop w:val="0"/>
      <w:marBottom w:val="0"/>
      <w:divBdr>
        <w:top w:val="none" w:sz="0" w:space="0" w:color="auto"/>
        <w:left w:val="none" w:sz="0" w:space="0" w:color="auto"/>
        <w:bottom w:val="none" w:sz="0" w:space="0" w:color="auto"/>
        <w:right w:val="none" w:sz="0" w:space="0" w:color="auto"/>
      </w:divBdr>
    </w:div>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ibfr.91.01"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EF22-B198-4254-B7CE-E4B79DF2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2</cp:revision>
  <dcterms:created xsi:type="dcterms:W3CDTF">2023-03-29T05:13:00Z</dcterms:created>
  <dcterms:modified xsi:type="dcterms:W3CDTF">2023-03-29T05:13:00Z</dcterms:modified>
</cp:coreProperties>
</file>